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PUC DOCKET NO. </w:t>
      </w:r>
      <w:r w:rsidR="007E307E">
        <w:t>47680</w:t>
      </w:r>
      <w:r>
        <w:br/>
        <w:t>SOAH DOCKET NO. 473-1</w:t>
      </w:r>
      <w:r w:rsidR="007E307E">
        <w:t>8</w:t>
      </w:r>
      <w:r>
        <w:t>-</w:t>
      </w:r>
      <w:r w:rsidR="007E307E">
        <w:t>1906</w:t>
      </w:r>
      <w:r w:rsidR="00A309C9">
        <w:t>.WS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E307E" w:rsidRPr="007E307E" w:rsidRDefault="007E307E" w:rsidP="007E307E">
            <w:pPr>
              <w:rPr>
                <w:b/>
                <w:caps/>
              </w:rPr>
            </w:pPr>
            <w:r w:rsidRPr="007E307E">
              <w:rPr>
                <w:b/>
                <w:caps/>
              </w:rPr>
              <w:t>Application of Bolivar Utility Services, LLC for Authority to Change Sewer Rates</w:t>
            </w:r>
          </w:p>
          <w:p w:rsidR="007572FC" w:rsidRDefault="007572FC" w:rsidP="001E360C">
            <w:pPr>
              <w:pStyle w:val="Docketstyle"/>
            </w:pP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DRAFT PRELIMINARY ORDER</w:t>
      </w:r>
    </w:p>
    <w:p w:rsidR="00355B7B" w:rsidRPr="000C458D" w:rsidRDefault="00355B7B" w:rsidP="00355B7B">
      <w:pPr>
        <w:pStyle w:val="Titleoforder"/>
        <w:spacing w:before="120" w:after="0" w:line="360" w:lineRule="auto"/>
        <w:ind w:firstLine="720"/>
        <w:jc w:val="both"/>
        <w:rPr>
          <w:b w:val="0"/>
        </w:rPr>
      </w:pPr>
      <w:r w:rsidRPr="000C458D">
        <w:rPr>
          <w:b w:val="0"/>
        </w:rPr>
        <w:t>Bolivar Utility Services, L.L.C. filed an application to change rates for sewer service under Texas Water Code (TWC) § 13.1871.  This preliminary order identifies the issues that must be addressed in this proceeding.</w:t>
      </w:r>
    </w:p>
    <w:p w:rsidR="00355B7B" w:rsidRPr="00355B7B" w:rsidRDefault="00355B7B" w:rsidP="00355B7B">
      <w:pPr>
        <w:pStyle w:val="Titleoforder"/>
        <w:spacing w:before="120" w:after="0" w:line="360" w:lineRule="auto"/>
        <w:ind w:firstLine="720"/>
        <w:jc w:val="both"/>
        <w:rPr>
          <w:b w:val="0"/>
          <w:color w:val="FF0000"/>
        </w:rPr>
      </w:pPr>
      <w:r w:rsidRPr="000C458D">
        <w:rPr>
          <w:b w:val="0"/>
        </w:rPr>
        <w:t xml:space="preserve">Bolivar Utility Services is a Class B utility </w:t>
      </w:r>
      <w:r w:rsidR="00470EF9">
        <w:rPr>
          <w:b w:val="0"/>
        </w:rPr>
        <w:t>with</w:t>
      </w:r>
      <w:r w:rsidRPr="000C458D">
        <w:rPr>
          <w:b w:val="0"/>
        </w:rPr>
        <w:t xml:space="preserve"> </w:t>
      </w:r>
      <w:r w:rsidR="000C458D" w:rsidRPr="000C458D">
        <w:rPr>
          <w:b w:val="0"/>
        </w:rPr>
        <w:t>720 sewer connections</w:t>
      </w:r>
      <w:r w:rsidRPr="000C458D">
        <w:rPr>
          <w:b w:val="0"/>
        </w:rPr>
        <w:t xml:space="preserve"> </w:t>
      </w:r>
      <w:r w:rsidR="00470EF9">
        <w:rPr>
          <w:b w:val="0"/>
        </w:rPr>
        <w:t>on</w:t>
      </w:r>
      <w:r w:rsidRPr="000C458D">
        <w:rPr>
          <w:b w:val="0"/>
        </w:rPr>
        <w:t xml:space="preserve"> </w:t>
      </w:r>
      <w:r w:rsidR="000C458D" w:rsidRPr="000C458D">
        <w:rPr>
          <w:b w:val="0"/>
        </w:rPr>
        <w:t>the Bolivar Peninsula, Galveston</w:t>
      </w:r>
      <w:r w:rsidRPr="000C458D">
        <w:rPr>
          <w:b w:val="0"/>
        </w:rPr>
        <w:t xml:space="preserve"> County, Texas.</w:t>
      </w:r>
      <w:r w:rsidRPr="000C458D">
        <w:rPr>
          <w:rStyle w:val="FootnoteReference"/>
          <w:b w:val="0"/>
        </w:rPr>
        <w:footnoteReference w:id="1"/>
      </w:r>
      <w:r w:rsidRPr="000C458D">
        <w:rPr>
          <w:b w:val="0"/>
        </w:rPr>
        <w:t xml:space="preserve">  It requests approval of an annual revenue-requirement increase of $</w:t>
      </w:r>
      <w:r w:rsidR="000C458D" w:rsidRPr="000C458D">
        <w:rPr>
          <w:b w:val="0"/>
        </w:rPr>
        <w:t>5</w:t>
      </w:r>
      <w:r w:rsidRPr="000C458D">
        <w:rPr>
          <w:b w:val="0"/>
        </w:rPr>
        <w:t>8,</w:t>
      </w:r>
      <w:r w:rsidR="000C458D" w:rsidRPr="000C458D">
        <w:rPr>
          <w:b w:val="0"/>
        </w:rPr>
        <w:t>925</w:t>
      </w:r>
      <w:r w:rsidRPr="000C458D">
        <w:rPr>
          <w:b w:val="0"/>
        </w:rPr>
        <w:t>.0</w:t>
      </w:r>
      <w:r w:rsidR="000C458D" w:rsidRPr="000C458D">
        <w:rPr>
          <w:b w:val="0"/>
        </w:rPr>
        <w:t>0</w:t>
      </w:r>
      <w:r w:rsidRPr="000C458D">
        <w:rPr>
          <w:b w:val="0"/>
        </w:rPr>
        <w:t xml:space="preserve"> for </w:t>
      </w:r>
      <w:r w:rsidR="000C458D" w:rsidRPr="000C458D">
        <w:rPr>
          <w:b w:val="0"/>
        </w:rPr>
        <w:t>sewer</w:t>
      </w:r>
      <w:r w:rsidRPr="000C458D">
        <w:rPr>
          <w:b w:val="0"/>
        </w:rPr>
        <w:t xml:space="preserve"> service.</w:t>
      </w:r>
      <w:r w:rsidRPr="000C458D">
        <w:rPr>
          <w:rStyle w:val="FootnoteReference"/>
          <w:b w:val="0"/>
        </w:rPr>
        <w:footnoteReference w:id="2"/>
      </w:r>
      <w:r w:rsidRPr="000C458D">
        <w:rPr>
          <w:b w:val="0"/>
        </w:rPr>
        <w:t xml:space="preserve"> </w:t>
      </w:r>
      <w:r w:rsidRPr="000C458D">
        <w:rPr>
          <w:b w:val="0"/>
          <w:color w:val="FF0000"/>
        </w:rPr>
        <w:t xml:space="preserve"> </w:t>
      </w:r>
      <w:r w:rsidRPr="000C458D">
        <w:rPr>
          <w:b w:val="0"/>
        </w:rPr>
        <w:t xml:space="preserve">Under its proposed rate increase, the rate for a </w:t>
      </w:r>
      <w:r w:rsidR="000C458D" w:rsidRPr="000C458D">
        <w:rPr>
          <w:b w:val="0"/>
        </w:rPr>
        <w:t>sewer-</w:t>
      </w:r>
      <w:r w:rsidRPr="000C458D">
        <w:rPr>
          <w:b w:val="0"/>
        </w:rPr>
        <w:t xml:space="preserve">service </w:t>
      </w:r>
      <w:r w:rsidRPr="00235CDD">
        <w:rPr>
          <w:b w:val="0"/>
        </w:rPr>
        <w:t xml:space="preserve">customer </w:t>
      </w:r>
      <w:r w:rsidR="00470EF9">
        <w:rPr>
          <w:b w:val="0"/>
        </w:rPr>
        <w:t xml:space="preserve">with a 5/8-inch or 3/4-inch meter </w:t>
      </w:r>
      <w:r w:rsidRPr="00235CDD">
        <w:rPr>
          <w:b w:val="0"/>
        </w:rPr>
        <w:t xml:space="preserve">using 5,000 gallons </w:t>
      </w:r>
      <w:r w:rsidR="00470EF9">
        <w:rPr>
          <w:b w:val="0"/>
        </w:rPr>
        <w:t>per</w:t>
      </w:r>
      <w:r w:rsidR="00235CDD" w:rsidRPr="00235CDD">
        <w:rPr>
          <w:b w:val="0"/>
        </w:rPr>
        <w:t xml:space="preserve"> month </w:t>
      </w:r>
      <w:r w:rsidRPr="00235CDD">
        <w:rPr>
          <w:b w:val="0"/>
        </w:rPr>
        <w:t xml:space="preserve">would increase </w:t>
      </w:r>
      <w:r w:rsidR="00235CDD" w:rsidRPr="00235CDD">
        <w:rPr>
          <w:b w:val="0"/>
        </w:rPr>
        <w:t>approximately 15</w:t>
      </w:r>
      <w:r w:rsidRPr="00235CDD">
        <w:rPr>
          <w:b w:val="0"/>
        </w:rPr>
        <w:t>%</w:t>
      </w:r>
      <w:r w:rsidR="00706E6D">
        <w:rPr>
          <w:b w:val="0"/>
        </w:rPr>
        <w:t>,</w:t>
      </w:r>
      <w:r w:rsidRPr="00235CDD">
        <w:rPr>
          <w:b w:val="0"/>
        </w:rPr>
        <w:t xml:space="preserve"> from $</w:t>
      </w:r>
      <w:r w:rsidR="00235CDD" w:rsidRPr="00235CDD">
        <w:rPr>
          <w:b w:val="0"/>
        </w:rPr>
        <w:t>56.00</w:t>
      </w:r>
      <w:r w:rsidRPr="00235CDD">
        <w:rPr>
          <w:b w:val="0"/>
        </w:rPr>
        <w:t xml:space="preserve"> to $</w:t>
      </w:r>
      <w:r w:rsidR="00235CDD" w:rsidRPr="00235CDD">
        <w:rPr>
          <w:b w:val="0"/>
        </w:rPr>
        <w:t>64.00</w:t>
      </w:r>
      <w:r w:rsidRPr="00235CDD">
        <w:rPr>
          <w:b w:val="0"/>
        </w:rPr>
        <w:t xml:space="preserve"> per month.</w:t>
      </w:r>
      <w:r w:rsidRPr="00235CDD">
        <w:rPr>
          <w:rStyle w:val="FootnoteReference"/>
          <w:b w:val="0"/>
        </w:rPr>
        <w:footnoteReference w:id="3"/>
      </w:r>
      <w:r w:rsidRPr="00235CDD">
        <w:rPr>
          <w:b w:val="0"/>
        </w:rPr>
        <w:t xml:space="preserve">  For a customer using 10,000 gallons</w:t>
      </w:r>
      <w:r w:rsidR="00235CDD" w:rsidRPr="00235CDD">
        <w:rPr>
          <w:b w:val="0"/>
        </w:rPr>
        <w:t xml:space="preserve"> </w:t>
      </w:r>
      <w:r w:rsidR="00706E6D">
        <w:rPr>
          <w:b w:val="0"/>
        </w:rPr>
        <w:t>per month</w:t>
      </w:r>
      <w:r w:rsidRPr="00235CDD">
        <w:rPr>
          <w:b w:val="0"/>
        </w:rPr>
        <w:t xml:space="preserve">, rates would increase </w:t>
      </w:r>
      <w:r w:rsidR="00235CDD" w:rsidRPr="00235CDD">
        <w:rPr>
          <w:b w:val="0"/>
        </w:rPr>
        <w:t>approximately 24</w:t>
      </w:r>
      <w:r w:rsidRPr="00235CDD">
        <w:rPr>
          <w:b w:val="0"/>
        </w:rPr>
        <w:t>%</w:t>
      </w:r>
      <w:r w:rsidR="00706E6D">
        <w:rPr>
          <w:b w:val="0"/>
        </w:rPr>
        <w:t>,</w:t>
      </w:r>
      <w:r w:rsidRPr="00235CDD">
        <w:rPr>
          <w:b w:val="0"/>
        </w:rPr>
        <w:t xml:space="preserve"> from $</w:t>
      </w:r>
      <w:r w:rsidR="00235CDD" w:rsidRPr="00235CDD">
        <w:rPr>
          <w:b w:val="0"/>
        </w:rPr>
        <w:t>76.00</w:t>
      </w:r>
      <w:r w:rsidRPr="00235CDD">
        <w:rPr>
          <w:b w:val="0"/>
        </w:rPr>
        <w:t xml:space="preserve"> to $</w:t>
      </w:r>
      <w:r w:rsidR="00235CDD" w:rsidRPr="00235CDD">
        <w:rPr>
          <w:b w:val="0"/>
        </w:rPr>
        <w:t>94.00</w:t>
      </w:r>
      <w:r w:rsidRPr="00235CDD">
        <w:rPr>
          <w:b w:val="0"/>
        </w:rPr>
        <w:t xml:space="preserve"> per month</w:t>
      </w:r>
      <w:r w:rsidR="00235CDD" w:rsidRPr="00235CDD">
        <w:rPr>
          <w:b w:val="0"/>
        </w:rPr>
        <w:t>.</w:t>
      </w:r>
      <w:r w:rsidRPr="00235CDD">
        <w:rPr>
          <w:rStyle w:val="FootnoteReference"/>
          <w:b w:val="0"/>
        </w:rPr>
        <w:footnoteReference w:id="4"/>
      </w:r>
      <w:r w:rsidRPr="00235CDD">
        <w:rPr>
          <w:b w:val="0"/>
        </w:rPr>
        <w:t xml:space="preserve">  </w:t>
      </w:r>
      <w:r w:rsidR="00050B77">
        <w:rPr>
          <w:b w:val="0"/>
        </w:rPr>
        <w:t xml:space="preserve">Bolivar proposes to increase only its </w:t>
      </w:r>
      <w:r w:rsidR="008A7983">
        <w:rPr>
          <w:b w:val="0"/>
        </w:rPr>
        <w:t xml:space="preserve">gallonage charges; </w:t>
      </w:r>
      <w:r w:rsidRPr="00235CDD">
        <w:rPr>
          <w:b w:val="0"/>
        </w:rPr>
        <w:t xml:space="preserve">the </w:t>
      </w:r>
      <w:r w:rsidR="00235CDD" w:rsidRPr="00235CDD">
        <w:rPr>
          <w:b w:val="0"/>
        </w:rPr>
        <w:t>fixed, monthly base rate and</w:t>
      </w:r>
      <w:r w:rsidRPr="00235CDD">
        <w:rPr>
          <w:b w:val="0"/>
        </w:rPr>
        <w:t xml:space="preserve"> miscellaneous charges would not change.</w:t>
      </w:r>
      <w:r w:rsidRPr="00235CDD">
        <w:rPr>
          <w:rStyle w:val="FootnoteReference"/>
          <w:b w:val="0"/>
        </w:rPr>
        <w:footnoteReference w:id="5"/>
      </w:r>
      <w:bookmarkStart w:id="0" w:name="_GoBack"/>
      <w:bookmarkEnd w:id="0"/>
    </w:p>
    <w:p w:rsidR="00355B7B" w:rsidRPr="00355B7B" w:rsidRDefault="008A7983" w:rsidP="00355B7B">
      <w:pPr>
        <w:pStyle w:val="Titleoforder"/>
        <w:spacing w:before="120" w:after="0" w:line="360" w:lineRule="auto"/>
        <w:ind w:firstLine="720"/>
        <w:jc w:val="both"/>
        <w:rPr>
          <w:b w:val="0"/>
          <w:color w:val="FF0000"/>
        </w:rPr>
      </w:pPr>
      <w:r w:rsidRPr="008A7983">
        <w:rPr>
          <w:b w:val="0"/>
        </w:rPr>
        <w:t>Bolivar Utility Services</w:t>
      </w:r>
      <w:r w:rsidR="00355B7B" w:rsidRPr="008A7983">
        <w:rPr>
          <w:b w:val="0"/>
        </w:rPr>
        <w:t xml:space="preserve"> proposed </w:t>
      </w:r>
      <w:r w:rsidRPr="008A7983">
        <w:rPr>
          <w:b w:val="0"/>
        </w:rPr>
        <w:t>December</w:t>
      </w:r>
      <w:r w:rsidR="00355B7B" w:rsidRPr="008A7983">
        <w:rPr>
          <w:b w:val="0"/>
        </w:rPr>
        <w:t xml:space="preserve"> 1, 2017 as the effective date for the new rates</w:t>
      </w:r>
      <w:r w:rsidRPr="008A7983">
        <w:rPr>
          <w:b w:val="0"/>
        </w:rPr>
        <w:t>.</w:t>
      </w:r>
      <w:r w:rsidRPr="008A7983">
        <w:rPr>
          <w:rStyle w:val="FootnoteReference"/>
          <w:b w:val="0"/>
        </w:rPr>
        <w:footnoteReference w:id="6"/>
      </w:r>
      <w:r w:rsidRPr="008A7983">
        <w:rPr>
          <w:b w:val="0"/>
        </w:rPr>
        <w:t xml:space="preserve">  H</w:t>
      </w:r>
      <w:r w:rsidR="00355B7B" w:rsidRPr="008A7983">
        <w:rPr>
          <w:b w:val="0"/>
        </w:rPr>
        <w:t xml:space="preserve">owever, </w:t>
      </w:r>
      <w:r w:rsidRPr="008A7983">
        <w:rPr>
          <w:b w:val="0"/>
        </w:rPr>
        <w:t xml:space="preserve">consistent with a recommendation by </w:t>
      </w:r>
      <w:r w:rsidR="00355B7B" w:rsidRPr="008A7983">
        <w:rPr>
          <w:b w:val="0"/>
        </w:rPr>
        <w:t>Commission Staff</w:t>
      </w:r>
      <w:r w:rsidRPr="008A7983">
        <w:rPr>
          <w:b w:val="0"/>
        </w:rPr>
        <w:t>, the Commission administrative law judge (ALJ) suspended the effective date for the new rates</w:t>
      </w:r>
      <w:r w:rsidR="00355B7B" w:rsidRPr="008A7983">
        <w:rPr>
          <w:b w:val="0"/>
        </w:rPr>
        <w:t xml:space="preserve"> </w:t>
      </w:r>
      <w:r>
        <w:rPr>
          <w:b w:val="0"/>
        </w:rPr>
        <w:t>no more than 265 days under</w:t>
      </w:r>
      <w:r w:rsidRPr="008A7983">
        <w:rPr>
          <w:b w:val="0"/>
        </w:rPr>
        <w:t xml:space="preserve"> TWC</w:t>
      </w:r>
      <w:r>
        <w:rPr>
          <w:b w:val="0"/>
        </w:rPr>
        <w:t> </w:t>
      </w:r>
      <w:r w:rsidRPr="008A7983">
        <w:rPr>
          <w:b w:val="0"/>
        </w:rPr>
        <w:t xml:space="preserve">§ 13.1871(g) and 16 </w:t>
      </w:r>
      <w:r w:rsidR="000B453A">
        <w:rPr>
          <w:b w:val="0"/>
        </w:rPr>
        <w:t>Texas Administrative Code (</w:t>
      </w:r>
      <w:r w:rsidRPr="008A7983">
        <w:rPr>
          <w:b w:val="0"/>
        </w:rPr>
        <w:t>TAC</w:t>
      </w:r>
      <w:r w:rsidR="000B453A">
        <w:rPr>
          <w:b w:val="0"/>
        </w:rPr>
        <w:t>)</w:t>
      </w:r>
      <w:r w:rsidRPr="008A7983">
        <w:rPr>
          <w:b w:val="0"/>
        </w:rPr>
        <w:t xml:space="preserve"> § 24.26(a)(2).</w:t>
      </w:r>
      <w:r w:rsidR="00355B7B" w:rsidRPr="008A7983">
        <w:rPr>
          <w:rStyle w:val="FootnoteReference"/>
          <w:b w:val="0"/>
        </w:rPr>
        <w:footnoteReference w:id="7"/>
      </w:r>
      <w:r w:rsidR="00355B7B" w:rsidRPr="00355B7B">
        <w:rPr>
          <w:b w:val="0"/>
          <w:color w:val="FF0000"/>
        </w:rPr>
        <w:t xml:space="preserve">  </w:t>
      </w:r>
    </w:p>
    <w:p w:rsidR="00355B7B" w:rsidRPr="008A7983" w:rsidRDefault="00355B7B" w:rsidP="00355B7B">
      <w:pPr>
        <w:pStyle w:val="Titleoforder"/>
        <w:spacing w:before="120" w:line="360" w:lineRule="auto"/>
        <w:ind w:firstLine="720"/>
        <w:jc w:val="both"/>
        <w:rPr>
          <w:b w:val="0"/>
        </w:rPr>
      </w:pPr>
      <w:r w:rsidRPr="008A7983">
        <w:rPr>
          <w:b w:val="0"/>
        </w:rPr>
        <w:lastRenderedPageBreak/>
        <w:t xml:space="preserve">On </w:t>
      </w:r>
      <w:r w:rsidR="008A7983" w:rsidRPr="008A7983">
        <w:rPr>
          <w:b w:val="0"/>
        </w:rPr>
        <w:t>January 22</w:t>
      </w:r>
      <w:r w:rsidRPr="008A7983">
        <w:rPr>
          <w:b w:val="0"/>
        </w:rPr>
        <w:t>, 201</w:t>
      </w:r>
      <w:r w:rsidR="008A7983" w:rsidRPr="008A7983">
        <w:rPr>
          <w:b w:val="0"/>
        </w:rPr>
        <w:t>8</w:t>
      </w:r>
      <w:r w:rsidRPr="008A7983">
        <w:rPr>
          <w:b w:val="0"/>
        </w:rPr>
        <w:t>, this proceeding</w:t>
      </w:r>
      <w:r w:rsidR="008A7983" w:rsidRPr="008A7983">
        <w:rPr>
          <w:b w:val="0"/>
        </w:rPr>
        <w:t xml:space="preserve"> was referred</w:t>
      </w:r>
      <w:r w:rsidRPr="008A7983">
        <w:rPr>
          <w:b w:val="0"/>
        </w:rPr>
        <w:t xml:space="preserve"> to the State Office of Administrative Hearings (SOAH).</w:t>
      </w:r>
      <w:r w:rsidRPr="008A7983">
        <w:rPr>
          <w:rStyle w:val="FootnoteReference"/>
          <w:b w:val="0"/>
        </w:rPr>
        <w:footnoteReference w:id="8"/>
      </w:r>
      <w:r w:rsidRPr="008A7983">
        <w:rPr>
          <w:b w:val="0"/>
        </w:rPr>
        <w:t xml:space="preserve">  </w:t>
      </w:r>
      <w:r w:rsidR="008A7983" w:rsidRPr="008A7983">
        <w:rPr>
          <w:b w:val="0"/>
        </w:rPr>
        <w:t>Proposed lists of issues to be addressed in this proceeding were filed by Bolivar Utility Services and Commission Staff</w:t>
      </w:r>
      <w:r w:rsidRPr="008A7983">
        <w:rPr>
          <w:b w:val="0"/>
        </w:rPr>
        <w:t>.</w:t>
      </w:r>
    </w:p>
    <w:p w:rsidR="00355B7B" w:rsidRPr="00696B90" w:rsidRDefault="00355B7B" w:rsidP="00355B7B">
      <w:pPr>
        <w:pStyle w:val="Heading1"/>
        <w:keepLines w:val="0"/>
        <w:numPr>
          <w:ilvl w:val="0"/>
          <w:numId w:val="2"/>
        </w:numPr>
        <w:tabs>
          <w:tab w:val="clear" w:pos="360"/>
        </w:tabs>
        <w:spacing w:before="480"/>
        <w:contextualSpacing/>
        <w:rPr>
          <w:rFonts w:cs="Times New Roman"/>
        </w:rPr>
      </w:pPr>
      <w:r w:rsidRPr="00696B90">
        <w:rPr>
          <w:rFonts w:cs="Times New Roman"/>
        </w:rPr>
        <w:t xml:space="preserve">Issues to be </w:t>
      </w:r>
      <w:proofErr w:type="gramStart"/>
      <w:r w:rsidRPr="00696B90">
        <w:rPr>
          <w:rFonts w:cs="Times New Roman"/>
        </w:rPr>
        <w:t>Addressed</w:t>
      </w:r>
      <w:proofErr w:type="gramEnd"/>
    </w:p>
    <w:p w:rsidR="00355B7B" w:rsidRPr="00696B90" w:rsidRDefault="00355B7B" w:rsidP="00355B7B">
      <w:pPr>
        <w:pStyle w:val="BodyText"/>
      </w:pPr>
      <w:r w:rsidRPr="00696B90">
        <w:t>The Commission must provide to the ALJ a list of issues or areas to be addressed in any proceeding referred to the SOAH.</w:t>
      </w:r>
      <w:r w:rsidRPr="00696B90">
        <w:rPr>
          <w:rStyle w:val="FootnoteReference"/>
        </w:rPr>
        <w:footnoteReference w:id="9"/>
      </w:r>
      <w:r w:rsidRPr="00696B90">
        <w:t xml:space="preserve">  After reviewing the pleadings submitted by the parties, the Commission identifies the following issues that must be addressed in this docket:</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What is the appropriate methodology to determine just and reasonable rates in this proceeding?</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 xml:space="preserve">What are the just and reasonable rates for the utility that are sufficient, equitable, and consistent in application to each customer class and that are not unreasonably preferential, prejudicial, or discriminatory?  </w:t>
      </w:r>
      <w:r w:rsidRPr="00696B90">
        <w:t>TWC § 13.182, 13.1871(o); 16 TAC § 24.28(d).</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What revenue requirement will give the utility a reasonable opportunity to earn a reasonable return on its invested capital used and useful in providing service to the public in excess of its reasonable and necessary operating expenses while preserving the utility's financial integrity?</w:t>
      </w:r>
      <w:r w:rsidRPr="00696B90">
        <w:rPr>
          <w:rFonts w:eastAsia="Times New Roman"/>
          <w:vertAlign w:val="superscript"/>
        </w:rPr>
        <w:t xml:space="preserve"> </w:t>
      </w:r>
      <w:r w:rsidRPr="00696B90">
        <w:t>TWC § 13.183(a</w:t>
      </w:r>
      <w:proofErr w:type="gramStart"/>
      <w:r w:rsidRPr="00696B90">
        <w:t>)(</w:t>
      </w:r>
      <w:proofErr w:type="gramEnd"/>
      <w:r w:rsidRPr="00696B90">
        <w:t>1)-(2); 16 TAC § 24.32(a).</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Are the utility's proposed revisions to its tariffs and rate schedules appropriate?</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What is the reasonable and necessary cost of providing service?</w:t>
      </w:r>
      <w:r w:rsidRPr="00696B90">
        <w:rPr>
          <w:rFonts w:eastAsia="Times New Roman"/>
          <w:vertAlign w:val="superscript"/>
        </w:rPr>
        <w:t xml:space="preserve"> </w:t>
      </w:r>
      <w:r w:rsidRPr="00696B90">
        <w:t>16 TAC § 24.31.</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What adjustments, if any, should be made to the utility’s proposed test-year data?</w:t>
      </w:r>
      <w:r w:rsidRPr="00696B90">
        <w:t xml:space="preserve"> TWC § 13.185(d</w:t>
      </w:r>
      <w:proofErr w:type="gramStart"/>
      <w:r w:rsidRPr="00696B90">
        <w:t>)(</w:t>
      </w:r>
      <w:proofErr w:type="gramEnd"/>
      <w:r w:rsidRPr="00696B90">
        <w:t>1); 16 TAC § 24.31(b), (c)(5).</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What is the appropriate debt-to-equity capital structure of the utility?</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What is the appropriate weighted cost of capital (also called the overall rate of return), including return on equity and cost of debt for the utility? 16 TAC § 24.31(c</w:t>
      </w:r>
      <w:proofErr w:type="gramStart"/>
      <w:r w:rsidRPr="00696B90">
        <w:rPr>
          <w:rFonts w:eastAsia="Times New Roman"/>
          <w:szCs w:val="20"/>
        </w:rPr>
        <w:t>)(</w:t>
      </w:r>
      <w:proofErr w:type="gramEnd"/>
      <w:r w:rsidRPr="00696B90">
        <w:rPr>
          <w:rFonts w:eastAsia="Times New Roman"/>
          <w:szCs w:val="20"/>
        </w:rPr>
        <w:t>1).</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What are the reasonable and necessary components of the utility's invested capital?</w:t>
      </w:r>
      <w:r w:rsidRPr="00696B90">
        <w:t xml:space="preserve"> 16 TAC § 24.31(c</w:t>
      </w:r>
      <w:proofErr w:type="gramStart"/>
      <w:r w:rsidRPr="00696B90">
        <w:t>)(</w:t>
      </w:r>
      <w:proofErr w:type="gramEnd"/>
      <w:r w:rsidRPr="00696B90">
        <w:t>2).</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 xml:space="preserve">What is the original cost of the property used and useful in providing </w:t>
      </w:r>
      <w:r w:rsidR="00696B90" w:rsidRPr="00696B90">
        <w:rPr>
          <w:rFonts w:eastAsia="Times New Roman"/>
          <w:szCs w:val="20"/>
        </w:rPr>
        <w:t>sewer</w:t>
      </w:r>
      <w:r w:rsidRPr="00696B90">
        <w:rPr>
          <w:rFonts w:eastAsia="Times New Roman"/>
          <w:szCs w:val="20"/>
        </w:rPr>
        <w:t xml:space="preserve"> service to the public at the time the property was dedicated to public use? TWC § 13.185(b); 16 TAC § 24.31(c</w:t>
      </w:r>
      <w:proofErr w:type="gramStart"/>
      <w:r w:rsidRPr="00696B90">
        <w:rPr>
          <w:rFonts w:eastAsia="Times New Roman"/>
          <w:szCs w:val="20"/>
        </w:rPr>
        <w:t>)(</w:t>
      </w:r>
      <w:proofErr w:type="gramEnd"/>
      <w:r w:rsidRPr="00696B90">
        <w:rPr>
          <w:rFonts w:eastAsia="Times New Roman"/>
          <w:szCs w:val="20"/>
        </w:rPr>
        <w:t xml:space="preserve">2)(A)-(B).  </w:t>
      </w:r>
      <w:r w:rsidRPr="00696B90">
        <w:rPr>
          <w:rFonts w:eastAsia="Times New Roman"/>
          <w:vertAlign w:val="superscript"/>
        </w:rPr>
        <w:t xml:space="preserve"> </w:t>
      </w:r>
      <w:r w:rsidRPr="00696B90">
        <w:rPr>
          <w:rFonts w:eastAsia="Times New Roman"/>
        </w:rPr>
        <w:t>What is the amount, if any, of accumulated depreciation on such property?</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Is the utility seeking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planned and managed? TWC § 13.185(b); 16 TAC § 24.31(c</w:t>
      </w:r>
      <w:proofErr w:type="gramStart"/>
      <w:r w:rsidRPr="00696B90">
        <w:rPr>
          <w:rFonts w:eastAsia="Times New Roman"/>
          <w:szCs w:val="20"/>
        </w:rPr>
        <w:t>)(</w:t>
      </w:r>
      <w:proofErr w:type="gramEnd"/>
      <w:r w:rsidRPr="00696B90">
        <w:rPr>
          <w:rFonts w:eastAsia="Times New Roman"/>
          <w:szCs w:val="20"/>
        </w:rPr>
        <w:t xml:space="preserve">4). </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Does the utility have any debt? If so, what is the cost of that debt?</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What is the reasonable and necessary working capital allowance for the utility? 16 TAC § 24.31(c</w:t>
      </w:r>
      <w:proofErr w:type="gramStart"/>
      <w:r w:rsidRPr="00696B90">
        <w:rPr>
          <w:rFonts w:eastAsia="Times New Roman"/>
          <w:szCs w:val="20"/>
        </w:rPr>
        <w:t>)(</w:t>
      </w:r>
      <w:proofErr w:type="gramEnd"/>
      <w:r w:rsidRPr="00696B90">
        <w:rPr>
          <w:rFonts w:eastAsia="Times New Roman"/>
          <w:szCs w:val="20"/>
        </w:rPr>
        <w:t xml:space="preserve">2)(C). </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Does the utility have any sewer-utility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 TWC § 13.185(i).</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 xml:space="preserve">Has the utility acquired any </w:t>
      </w:r>
      <w:r w:rsidR="00696B90" w:rsidRPr="00696B90">
        <w:rPr>
          <w:rFonts w:eastAsia="Times New Roman"/>
          <w:szCs w:val="20"/>
        </w:rPr>
        <w:t>sewer</w:t>
      </w:r>
      <w:r w:rsidRPr="00696B90">
        <w:rPr>
          <w:rFonts w:eastAsia="Times New Roman"/>
          <w:szCs w:val="20"/>
        </w:rPr>
        <w:t xml:space="preserve"> property from an affiliate?  If so, do the payments, including any interest, for that property meet the requirements of TWC § 13.185(e)? </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Has the utility financed any of its plant with developer contributions? TWC § 13.185(j), 16 TAC § 24.31(b</w:t>
      </w:r>
      <w:proofErr w:type="gramStart"/>
      <w:r w:rsidRPr="00696B90">
        <w:rPr>
          <w:rFonts w:eastAsia="Times New Roman"/>
          <w:szCs w:val="20"/>
        </w:rPr>
        <w:t>)(</w:t>
      </w:r>
      <w:proofErr w:type="gramEnd"/>
      <w:r w:rsidRPr="00696B90">
        <w:rPr>
          <w:rFonts w:eastAsia="Times New Roman"/>
          <w:szCs w:val="20"/>
        </w:rPr>
        <w:t xml:space="preserve">1)(B).  </w:t>
      </w:r>
      <w:r w:rsidR="00696B90" w:rsidRPr="00696B90">
        <w:rPr>
          <w:rFonts w:eastAsia="Times New Roman"/>
          <w:szCs w:val="20"/>
        </w:rPr>
        <w:t>If so, w</w:t>
      </w:r>
      <w:r w:rsidRPr="00696B90">
        <w:rPr>
          <w:rFonts w:eastAsia="Times New Roman"/>
          <w:szCs w:val="20"/>
        </w:rPr>
        <w:t>hat is the amount, if any, of accumulated depreciation on that property?</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Has the utility included any customer contributions or donations in invested capital?</w:t>
      </w:r>
      <w:r w:rsidRPr="00696B90">
        <w:rPr>
          <w:rFonts w:eastAsia="Times New Roman"/>
          <w:vertAlign w:val="superscript"/>
        </w:rPr>
        <w:t xml:space="preserve">  </w:t>
      </w:r>
      <w:r w:rsidRPr="00696B90">
        <w:rPr>
          <w:rFonts w:eastAsia="Times New Roman"/>
          <w:szCs w:val="20"/>
        </w:rPr>
        <w:t>TWC § 13.185(j), 16 TAC § 24.31(c</w:t>
      </w:r>
      <w:proofErr w:type="gramStart"/>
      <w:r w:rsidRPr="00696B90">
        <w:rPr>
          <w:rFonts w:eastAsia="Times New Roman"/>
          <w:szCs w:val="20"/>
        </w:rPr>
        <w:t>)(</w:t>
      </w:r>
      <w:proofErr w:type="gramEnd"/>
      <w:r w:rsidRPr="00696B90">
        <w:rPr>
          <w:rFonts w:eastAsia="Times New Roman"/>
          <w:szCs w:val="20"/>
        </w:rPr>
        <w:t>2)(B)(v).</w:t>
      </w:r>
    </w:p>
    <w:p w:rsidR="00355B7B" w:rsidRPr="00696B90" w:rsidRDefault="00355B7B" w:rsidP="00355B7B">
      <w:pPr>
        <w:numPr>
          <w:ilvl w:val="0"/>
          <w:numId w:val="11"/>
        </w:numPr>
        <w:spacing w:before="240" w:line="360" w:lineRule="auto"/>
        <w:ind w:hanging="720"/>
        <w:jc w:val="both"/>
        <w:rPr>
          <w:rFonts w:eastAsia="Times New Roman"/>
          <w:vertAlign w:val="superscript"/>
        </w:rPr>
      </w:pPr>
      <w:r w:rsidRPr="00696B90">
        <w:rPr>
          <w:rFonts w:eastAsia="Times New Roman"/>
          <w:szCs w:val="20"/>
        </w:rPr>
        <w:t>What are the utility's reasonable and necessary operations and maintenance expenses? 16 TAC § 24.31(b</w:t>
      </w:r>
      <w:proofErr w:type="gramStart"/>
      <w:r w:rsidRPr="00696B90">
        <w:rPr>
          <w:rFonts w:eastAsia="Times New Roman"/>
          <w:szCs w:val="20"/>
        </w:rPr>
        <w:t>)(</w:t>
      </w:r>
      <w:proofErr w:type="gramEnd"/>
      <w:r w:rsidRPr="00696B90">
        <w:rPr>
          <w:rFonts w:eastAsia="Times New Roman"/>
          <w:szCs w:val="20"/>
        </w:rPr>
        <w:t>1)(A).</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What are the utility's reasonable and necessary administrative and general expenses?</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What is the reasonable and necessary amount for the utility's advertising expense, contributions, and donations? 16 TAC § 24.31(b</w:t>
      </w:r>
      <w:proofErr w:type="gramStart"/>
      <w:r w:rsidRPr="00696B90">
        <w:rPr>
          <w:rFonts w:eastAsia="Times New Roman"/>
          <w:szCs w:val="20"/>
        </w:rPr>
        <w:t>)(</w:t>
      </w:r>
      <w:proofErr w:type="gramEnd"/>
      <w:r w:rsidRPr="00696B90">
        <w:rPr>
          <w:rFonts w:eastAsia="Times New Roman"/>
          <w:szCs w:val="20"/>
        </w:rPr>
        <w:t>1)(F).</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Are any expenses, including but not limited to, executive salaries, advertising expenses, rate</w:t>
      </w:r>
      <w:r w:rsidRPr="00696B90">
        <w:rPr>
          <w:rFonts w:eastAsia="Times New Roman"/>
          <w:szCs w:val="20"/>
        </w:rPr>
        <w:noBreakHyphen/>
        <w:t>case expenses, legal expenses, penalties and interest on overdue taxes, criminal penalties or fines, and civil penalties or fines, unreasonable, unnecessary, or not in the public interest? TWC § 13.185(h</w:t>
      </w:r>
      <w:proofErr w:type="gramStart"/>
      <w:r w:rsidRPr="00696B90">
        <w:rPr>
          <w:rFonts w:eastAsia="Times New Roman"/>
          <w:szCs w:val="20"/>
        </w:rPr>
        <w:t>)(</w:t>
      </w:r>
      <w:proofErr w:type="gramEnd"/>
      <w:r w:rsidRPr="00696B90">
        <w:rPr>
          <w:rFonts w:eastAsia="Times New Roman"/>
          <w:szCs w:val="20"/>
        </w:rPr>
        <w:t>3); 16 TAC § 24.31(b)(2)(I).</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If the utility has a self-insurance plan approved by the Commission or other regulatory authority, what is the approved target amount for the reserve account, and is it appropriate to charge that amount?  What is the amount of any shortage or surplus for the reserve account, and what actions, if any, should be taken to return the reserve account to the approved target amount?</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 xml:space="preserve">What are the utility’s reasonable and necessary expenses, if any, for pension and other post-employment benefits? </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Has the utility made any payments to affiliates?</w:t>
      </w:r>
    </w:p>
    <w:p w:rsidR="00355B7B" w:rsidRPr="00696B90" w:rsidRDefault="00355B7B" w:rsidP="00355B7B">
      <w:pPr>
        <w:numPr>
          <w:ilvl w:val="0"/>
          <w:numId w:val="12"/>
        </w:numPr>
        <w:spacing w:before="240" w:line="360" w:lineRule="auto"/>
        <w:jc w:val="both"/>
        <w:rPr>
          <w:rFonts w:eastAsia="Times New Roman"/>
          <w:szCs w:val="20"/>
        </w:rPr>
      </w:pPr>
      <w:r w:rsidRPr="00696B90">
        <w:rPr>
          <w:rFonts w:eastAsia="Times New Roman"/>
          <w:szCs w:val="20"/>
        </w:rPr>
        <w:t>For affiliate transactions that affect the cost of service, are these transactions reasonable and necessary? TWC § 13.185(e).</w:t>
      </w:r>
    </w:p>
    <w:p w:rsidR="00355B7B" w:rsidRPr="00696B90" w:rsidRDefault="00355B7B" w:rsidP="00355B7B">
      <w:pPr>
        <w:numPr>
          <w:ilvl w:val="0"/>
          <w:numId w:val="12"/>
        </w:numPr>
        <w:spacing w:before="240" w:line="360" w:lineRule="auto"/>
        <w:jc w:val="both"/>
        <w:rPr>
          <w:rFonts w:eastAsia="Times New Roman"/>
          <w:szCs w:val="20"/>
        </w:rPr>
      </w:pPr>
      <w:r w:rsidRPr="00696B90">
        <w:rPr>
          <w:rFonts w:eastAsia="Times New Roman"/>
          <w:szCs w:val="20"/>
        </w:rPr>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 TWC § 13.185(e).</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What is the reasonable and necessary depreciation expense?  For each class of property, what are the proper and adequate depreciation rates (including service lives and salvage values) and methods of depreciation? TWC § 13.185(j); 16 TAC § 24.31(b</w:t>
      </w:r>
      <w:proofErr w:type="gramStart"/>
      <w:r w:rsidRPr="00696B90">
        <w:rPr>
          <w:rFonts w:eastAsia="Times New Roman"/>
          <w:szCs w:val="20"/>
        </w:rPr>
        <w:t>)(</w:t>
      </w:r>
      <w:proofErr w:type="gramEnd"/>
      <w:r w:rsidRPr="00696B90">
        <w:rPr>
          <w:rFonts w:eastAsia="Times New Roman"/>
          <w:szCs w:val="20"/>
        </w:rPr>
        <w:t>1)(B).</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Are any tax savings derived from liberalized depreciation and amortization, investment tax credits, or similar methods?  If so, are such tax savings apportioned equitably between customers and the utility, and are the interests of present and future customers equitably balanced?</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What is the reasonable and necessary amount, if any, for assessment and taxes other than federal income taxes? 16 TAC § 24.31(b</w:t>
      </w:r>
      <w:proofErr w:type="gramStart"/>
      <w:r w:rsidRPr="00696B90">
        <w:rPr>
          <w:rFonts w:eastAsia="Times New Roman"/>
          <w:szCs w:val="20"/>
        </w:rPr>
        <w:t>)(</w:t>
      </w:r>
      <w:proofErr w:type="gramEnd"/>
      <w:r w:rsidRPr="00696B90">
        <w:rPr>
          <w:rFonts w:eastAsia="Times New Roman"/>
          <w:szCs w:val="20"/>
        </w:rPr>
        <w:t>1)(C).</w:t>
      </w:r>
    </w:p>
    <w:p w:rsidR="00355B7B" w:rsidRPr="00696B90" w:rsidRDefault="00355B7B" w:rsidP="00355B7B">
      <w:pPr>
        <w:numPr>
          <w:ilvl w:val="0"/>
          <w:numId w:val="11"/>
        </w:numPr>
        <w:spacing w:before="240" w:line="360" w:lineRule="auto"/>
        <w:ind w:hanging="720"/>
        <w:jc w:val="both"/>
        <w:rPr>
          <w:rFonts w:eastAsia="Times New Roman"/>
          <w:szCs w:val="20"/>
          <w:highlight w:val="yellow"/>
        </w:rPr>
      </w:pPr>
      <w:r w:rsidRPr="00696B90">
        <w:rPr>
          <w:rFonts w:eastAsia="Times New Roman"/>
          <w:szCs w:val="20"/>
          <w:highlight w:val="yellow"/>
        </w:rPr>
        <w:t>What is the reasonable and necessary amount for the utility's federal income tax expense? 16 TAC § 24.31(b</w:t>
      </w:r>
      <w:proofErr w:type="gramStart"/>
      <w:r w:rsidRPr="00696B90">
        <w:rPr>
          <w:rFonts w:eastAsia="Times New Roman"/>
          <w:szCs w:val="20"/>
          <w:highlight w:val="yellow"/>
        </w:rPr>
        <w:t>)(</w:t>
      </w:r>
      <w:proofErr w:type="gramEnd"/>
      <w:r w:rsidRPr="00696B90">
        <w:rPr>
          <w:rFonts w:eastAsia="Times New Roman"/>
          <w:szCs w:val="20"/>
          <w:highlight w:val="yellow"/>
        </w:rPr>
        <w:t>1)(D); TWC § 13.185(f).</w:t>
      </w:r>
    </w:p>
    <w:p w:rsidR="00355B7B" w:rsidRPr="00696B90" w:rsidRDefault="00355B7B" w:rsidP="00355B7B">
      <w:pPr>
        <w:numPr>
          <w:ilvl w:val="0"/>
          <w:numId w:val="13"/>
        </w:numPr>
        <w:spacing w:before="240" w:line="360" w:lineRule="auto"/>
        <w:jc w:val="both"/>
        <w:rPr>
          <w:rFonts w:eastAsia="Times New Roman"/>
          <w:szCs w:val="20"/>
        </w:rPr>
      </w:pPr>
      <w:r w:rsidRPr="00696B90">
        <w:rPr>
          <w:rFonts w:eastAsia="Times New Roman"/>
          <w:szCs w:val="20"/>
        </w:rPr>
        <w:t>Is the utility a member of an affiliated group that is eligible to file a consolidated income tax return? TWC § 13.185(f).</w:t>
      </w:r>
    </w:p>
    <w:p w:rsidR="00355B7B" w:rsidRPr="00696B90" w:rsidRDefault="00355B7B" w:rsidP="00355B7B">
      <w:pPr>
        <w:numPr>
          <w:ilvl w:val="0"/>
          <w:numId w:val="13"/>
        </w:numPr>
        <w:spacing w:before="240" w:line="360" w:lineRule="auto"/>
        <w:jc w:val="both"/>
        <w:rPr>
          <w:rFonts w:eastAsia="Times New Roman"/>
          <w:szCs w:val="20"/>
        </w:rPr>
      </w:pPr>
      <w:r w:rsidRPr="00696B90">
        <w:rPr>
          <w:rFonts w:eastAsia="Times New Roman"/>
          <w:szCs w:val="20"/>
        </w:rPr>
        <w:t>If so, have income taxes been computed as though a consolidated return had been filed and the utility had realized its fair share of the savings resulting from the consolidated return? TWC § 13.185(f).</w:t>
      </w:r>
    </w:p>
    <w:p w:rsidR="00355B7B" w:rsidRPr="00696B90" w:rsidRDefault="00355B7B" w:rsidP="00355B7B">
      <w:pPr>
        <w:numPr>
          <w:ilvl w:val="0"/>
          <w:numId w:val="13"/>
        </w:numPr>
        <w:spacing w:before="240" w:line="360" w:lineRule="auto"/>
        <w:jc w:val="both"/>
        <w:rPr>
          <w:rFonts w:eastAsia="Times New Roman"/>
          <w:szCs w:val="20"/>
        </w:rPr>
      </w:pPr>
      <w:r w:rsidRPr="00696B90">
        <w:rPr>
          <w:rFonts w:eastAsia="Times New Roman"/>
          <w:szCs w:val="20"/>
        </w:rPr>
        <w:t>If not, has the utility demonstrated that it was reasonable not to consolidate returns? TWC § 13.185(f).</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 xml:space="preserve">What is the reasonable and necessary amount of the </w:t>
      </w:r>
      <w:proofErr w:type="gramStart"/>
      <w:r w:rsidRPr="00696B90">
        <w:rPr>
          <w:rFonts w:eastAsia="Times New Roman"/>
          <w:szCs w:val="20"/>
        </w:rPr>
        <w:t>utility’s</w:t>
      </w:r>
      <w:proofErr w:type="gramEnd"/>
      <w:r w:rsidRPr="00696B90">
        <w:rPr>
          <w:rFonts w:eastAsia="Times New Roman"/>
          <w:szCs w:val="20"/>
        </w:rPr>
        <w:t xml:space="preserve"> accumulated reserve for deferred federal income taxes, unamortized investment tax credits, contingency reserves, property insurance reserves, contributions in aid of construction, customer deposits, and other sources of cost-free capital?  What other items should be deducted from the utility’s rate base?</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 xml:space="preserve">What is the reasonable and necessary amount for municipal franchise fees, if any, to be included in rates? </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What regulatory assets, if any, are appropriately included in the utility’s rate base?  If such assets are included in rate base, what is the appropriate treatment of such assets?</w:t>
      </w:r>
    </w:p>
    <w:p w:rsidR="00355B7B" w:rsidRPr="00696B90" w:rsidRDefault="00355B7B" w:rsidP="00355B7B">
      <w:pPr>
        <w:numPr>
          <w:ilvl w:val="0"/>
          <w:numId w:val="11"/>
        </w:numPr>
        <w:spacing w:before="240" w:line="360" w:lineRule="auto"/>
        <w:ind w:hanging="720"/>
        <w:jc w:val="both"/>
        <w:rPr>
          <w:rFonts w:eastAsia="Times New Roman"/>
          <w:szCs w:val="20"/>
          <w:highlight w:val="yellow"/>
        </w:rPr>
      </w:pPr>
      <w:r w:rsidRPr="00696B90">
        <w:rPr>
          <w:rFonts w:eastAsia="Times New Roman"/>
          <w:szCs w:val="20"/>
          <w:highlight w:val="yellow"/>
        </w:rPr>
        <w:t>Is the utility seeking rates for both water and sewer service?  If so, is each component of cost of service (each allowable expense and all return on invested capital) properly allocated between water and sewer services?</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What is the appropriate allocation of costs and revenues among the utility’s rate classes?</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What is the appropriate rate design for each rate class? 16 TAC § 24.32.</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Should the utility use the current number of connections as of the date of the application as opposed to using the number of test-year-end connections in designing rates?</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What are the utility’s expenses incurred in this rate proceeding that are just, reasonable, necessary, and in the public interest? 16 TAC § 24.33.  Does that amount include any prospective rate-case expenses to be incurred after the Commission’s final order?  Should the utility be able to recover its reasonable and necessary rate-case expenses from ratepayers?  If so, how should such expenses, if any, be recovered by the utility?</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If a refund or surcharge results from this proceeding, how and over what period of time should that be made? TWC § 13.1871.</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Has the utility met the requirements for a request for interim relief in the form of interim rates?  If so, what are the appropriate levels of the interim rates? 16 TAC § 24.29.</w:t>
      </w:r>
    </w:p>
    <w:p w:rsidR="00355B7B" w:rsidRPr="00696B90" w:rsidRDefault="00355B7B" w:rsidP="00355B7B">
      <w:pPr>
        <w:numPr>
          <w:ilvl w:val="0"/>
          <w:numId w:val="11"/>
        </w:numPr>
        <w:spacing w:before="240" w:line="360" w:lineRule="auto"/>
        <w:ind w:hanging="720"/>
        <w:jc w:val="both"/>
        <w:rPr>
          <w:rFonts w:eastAsia="Times New Roman"/>
          <w:szCs w:val="20"/>
        </w:rPr>
      </w:pPr>
      <w:r w:rsidRPr="00696B90">
        <w:rPr>
          <w:rFonts w:eastAsia="Times New Roman"/>
          <w:szCs w:val="20"/>
        </w:rPr>
        <w:t>What is the appropriate effective date of the rates fixed by the Commission in this proceeding? TWC § 13.1871.</w:t>
      </w:r>
    </w:p>
    <w:p w:rsidR="006F2036" w:rsidRPr="003C35B5" w:rsidRDefault="006F2036" w:rsidP="006F2036">
      <w:pPr>
        <w:pStyle w:val="BodyText"/>
      </w:pPr>
      <w:r w:rsidRPr="003C35B5">
        <w:t xml:space="preserve">This list of issues is not intended to be exhaustive.  The parties and the </w:t>
      </w:r>
      <w:r w:rsidR="00355B7B">
        <w:t xml:space="preserve">SOAH </w:t>
      </w:r>
      <w:r w:rsidRPr="003C35B5">
        <w:t xml:space="preserve">ALJ are free to raise and address any issues relevant in this docket that they deem necessary, subject to any limitations imposed by the </w:t>
      </w:r>
      <w:r w:rsidR="00355B7B">
        <w:t xml:space="preserve">SOAH </w:t>
      </w:r>
      <w:r w:rsidRPr="003C35B5">
        <w:t xml:space="preserve">ALJ or by the Commission in future orders issued in this docket.  The Commission </w:t>
      </w:r>
      <w:r>
        <w:t>may</w:t>
      </w:r>
      <w:r w:rsidRPr="003C35B5">
        <w:t xml:space="preserve"> identify and provide to the </w:t>
      </w:r>
      <w:r w:rsidR="00355B7B">
        <w:t xml:space="preserve">SOAH </w:t>
      </w:r>
      <w:r w:rsidRPr="003C35B5">
        <w:t>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t>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6F2036" w:rsidRPr="003C35B5" w:rsidRDefault="006F2036" w:rsidP="006F2036"/>
    <w:p w:rsidR="00160DCD" w:rsidRDefault="00160DCD" w:rsidP="00160DCD"/>
    <w:p w:rsidR="00160DCD" w:rsidRDefault="00160DCD" w:rsidP="00160DCD">
      <w:pPr>
        <w:pStyle w:val="Dateline"/>
      </w:pPr>
      <w:r>
        <w:t>Signed at Austin, Texas the _____</w:t>
      </w:r>
      <w:r w:rsidR="009F7FB3">
        <w:t xml:space="preserve">_ day of </w:t>
      </w:r>
      <w:r w:rsidR="008838F1">
        <w:t>February</w:t>
      </w:r>
      <w:r w:rsidR="009F7FB3">
        <w:t xml:space="preserve"> 2018</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1E1079">
        <w:t>EANN</w:t>
      </w:r>
      <w:r>
        <w:t xml:space="preserve"> </w:t>
      </w:r>
      <w:r w:rsidR="001E1079">
        <w:t>T</w:t>
      </w:r>
      <w:r>
        <w:t xml:space="preserve">. </w:t>
      </w:r>
      <w:r w:rsidR="001E1079">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F308C4" w:rsidP="00160DCD">
      <w:pPr>
        <w:pStyle w:val="Signatures"/>
      </w:pPr>
      <w:r>
        <w:t>BRANDY MARTY MARQUEZ</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308C4" w:rsidP="00160DCD">
      <w:pPr>
        <w:pStyle w:val="Signatures"/>
      </w:pPr>
      <w:r>
        <w:t>ARTHUR C. D’ANDREA</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55277C" w:rsidP="0062202F">
      <w:pPr>
        <w:pStyle w:val="EndMatter"/>
      </w:pPr>
      <w:r>
        <w:fldChar w:fldCharType="begin"/>
      </w:r>
      <w:r>
        <w:instrText xml:space="preserve"> FILENAME  \* Lower \p  \* MERGEFORMAT </w:instrText>
      </w:r>
      <w:r>
        <w:fldChar w:fldCharType="separate"/>
      </w:r>
      <w:r w:rsidR="009F7FB3">
        <w:rPr>
          <w:noProof/>
        </w:rPr>
        <w:t>q:\cadm\orders\prelim\47000\47680 dpo.docx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07E" w:rsidRDefault="007E307E" w:rsidP="00D03394">
      <w:r>
        <w:separator/>
      </w:r>
    </w:p>
  </w:endnote>
  <w:endnote w:type="continuationSeparator" w:id="0">
    <w:p w:rsidR="007E307E" w:rsidRDefault="007E307E"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07E" w:rsidRDefault="007E307E" w:rsidP="00D03394">
      <w:r>
        <w:separator/>
      </w:r>
    </w:p>
  </w:footnote>
  <w:footnote w:type="continuationSeparator" w:id="0">
    <w:p w:rsidR="007E307E" w:rsidRDefault="007E307E" w:rsidP="00D03394">
      <w:r>
        <w:continuationSeparator/>
      </w:r>
    </w:p>
  </w:footnote>
  <w:footnote w:id="1">
    <w:p w:rsidR="00355B7B" w:rsidRPr="000C458D" w:rsidRDefault="000C458D" w:rsidP="00355B7B">
      <w:pPr>
        <w:pStyle w:val="FootnoteText"/>
        <w:contextualSpacing/>
      </w:pPr>
      <w:r w:rsidRPr="000C458D">
        <w:rPr>
          <w:rStyle w:val="FootnoteReference"/>
        </w:rPr>
        <w:t>1</w:t>
      </w:r>
      <w:r w:rsidRPr="000C458D">
        <w:t xml:space="preserve">  Application of Bolivar Utility Services</w:t>
      </w:r>
      <w:r>
        <w:t>, L.L.C.</w:t>
      </w:r>
      <w:r w:rsidR="00355B7B" w:rsidRPr="000C458D">
        <w:t xml:space="preserve"> at </w:t>
      </w:r>
      <w:r w:rsidRPr="000C458D">
        <w:t>12</w:t>
      </w:r>
      <w:r w:rsidR="00355B7B" w:rsidRPr="000C458D">
        <w:t>, Schedule I-3 (</w:t>
      </w:r>
      <w:r w:rsidRPr="000C458D">
        <w:t>Oct. 9</w:t>
      </w:r>
      <w:r w:rsidR="00355B7B" w:rsidRPr="000C458D">
        <w:t>, 2017) (Application).</w:t>
      </w:r>
    </w:p>
  </w:footnote>
  <w:footnote w:id="2">
    <w:p w:rsidR="00355B7B" w:rsidRPr="000C458D" w:rsidRDefault="00355B7B" w:rsidP="00355B7B">
      <w:pPr>
        <w:pStyle w:val="FootnoteText"/>
        <w:rPr>
          <w:color w:val="FF0000"/>
        </w:rPr>
      </w:pPr>
      <w:r w:rsidRPr="000C458D">
        <w:rPr>
          <w:rStyle w:val="FootnoteReference"/>
        </w:rPr>
        <w:footnoteRef/>
      </w:r>
      <w:r w:rsidRPr="000C458D">
        <w:t xml:space="preserve">  Application at </w:t>
      </w:r>
      <w:r w:rsidR="000C458D" w:rsidRPr="000C458D">
        <w:t>5</w:t>
      </w:r>
      <w:r w:rsidRPr="000C458D">
        <w:t>.</w:t>
      </w:r>
    </w:p>
  </w:footnote>
  <w:footnote w:id="3">
    <w:p w:rsidR="00355B7B" w:rsidRPr="00235CDD" w:rsidRDefault="00355B7B" w:rsidP="00355B7B">
      <w:pPr>
        <w:pStyle w:val="FootnoteText"/>
      </w:pPr>
      <w:r w:rsidRPr="00235CDD">
        <w:rPr>
          <w:rStyle w:val="FootnoteReference"/>
        </w:rPr>
        <w:footnoteRef/>
      </w:r>
      <w:r w:rsidRPr="00235CDD">
        <w:t xml:space="preserve">  </w:t>
      </w:r>
      <w:r w:rsidR="00235CDD" w:rsidRPr="00235CDD">
        <w:t>Revised Customer Notice of Bolivar Utility Services at 4 (Nov. 2, 2017)</w:t>
      </w:r>
      <w:r w:rsidRPr="00235CDD">
        <w:t>.</w:t>
      </w:r>
    </w:p>
  </w:footnote>
  <w:footnote w:id="4">
    <w:p w:rsidR="00355B7B" w:rsidRPr="000C458D" w:rsidRDefault="00355B7B" w:rsidP="00355B7B">
      <w:pPr>
        <w:pStyle w:val="FootnoteText"/>
        <w:rPr>
          <w:i/>
          <w:color w:val="FF0000"/>
        </w:rPr>
      </w:pPr>
      <w:r w:rsidRPr="00235CDD">
        <w:rPr>
          <w:rStyle w:val="FootnoteReference"/>
        </w:rPr>
        <w:footnoteRef/>
      </w:r>
      <w:r w:rsidRPr="00235CDD">
        <w:t xml:space="preserve">  </w:t>
      </w:r>
      <w:r w:rsidRPr="00235CDD">
        <w:rPr>
          <w:i/>
        </w:rPr>
        <w:t>Id.</w:t>
      </w:r>
    </w:p>
  </w:footnote>
  <w:footnote w:id="5">
    <w:p w:rsidR="00355B7B" w:rsidRPr="000C458D" w:rsidRDefault="00355B7B" w:rsidP="00355B7B">
      <w:pPr>
        <w:pStyle w:val="FootnoteText"/>
        <w:rPr>
          <w:color w:val="FF0000"/>
        </w:rPr>
      </w:pPr>
      <w:r w:rsidRPr="00235CDD">
        <w:rPr>
          <w:rStyle w:val="FootnoteReference"/>
        </w:rPr>
        <w:footnoteRef/>
      </w:r>
      <w:r w:rsidRPr="00235CDD">
        <w:t xml:space="preserve">  </w:t>
      </w:r>
      <w:r w:rsidRPr="00235CDD">
        <w:rPr>
          <w:i/>
        </w:rPr>
        <w:t xml:space="preserve">Id. </w:t>
      </w:r>
      <w:r w:rsidRPr="00235CDD">
        <w:t>at 5.</w:t>
      </w:r>
    </w:p>
  </w:footnote>
  <w:footnote w:id="6">
    <w:p w:rsidR="008A7983" w:rsidRDefault="008A7983">
      <w:pPr>
        <w:pStyle w:val="FootnoteText"/>
      </w:pPr>
      <w:r>
        <w:rPr>
          <w:rStyle w:val="FootnoteReference"/>
        </w:rPr>
        <w:footnoteRef/>
      </w:r>
      <w:r>
        <w:t xml:space="preserve">  Application at 1.</w:t>
      </w:r>
    </w:p>
  </w:footnote>
  <w:footnote w:id="7">
    <w:p w:rsidR="00355B7B" w:rsidRPr="008A7983" w:rsidRDefault="00355B7B" w:rsidP="00355B7B">
      <w:pPr>
        <w:pStyle w:val="FootnoteText"/>
        <w:rPr>
          <w:color w:val="FF0000"/>
        </w:rPr>
      </w:pPr>
      <w:r w:rsidRPr="008A7983">
        <w:rPr>
          <w:rStyle w:val="FootnoteReference"/>
        </w:rPr>
        <w:footnoteRef/>
      </w:r>
      <w:r w:rsidRPr="008A7983">
        <w:t xml:space="preserve">  </w:t>
      </w:r>
      <w:r w:rsidR="008A7983" w:rsidRPr="008A7983">
        <w:t>Order No. 3 (Jan. 22, 2018)</w:t>
      </w:r>
      <w:r w:rsidRPr="008A7983">
        <w:t>.</w:t>
      </w:r>
    </w:p>
  </w:footnote>
  <w:footnote w:id="8">
    <w:p w:rsidR="00355B7B" w:rsidRPr="00696B90" w:rsidRDefault="00355B7B" w:rsidP="00355B7B">
      <w:pPr>
        <w:pStyle w:val="FootnoteText"/>
      </w:pPr>
      <w:r w:rsidRPr="00696B90">
        <w:rPr>
          <w:rStyle w:val="FootnoteReference"/>
        </w:rPr>
        <w:footnoteRef/>
      </w:r>
      <w:r w:rsidRPr="00696B90">
        <w:t xml:space="preserve">  Order of Referral (</w:t>
      </w:r>
      <w:r w:rsidR="008A7983" w:rsidRPr="00696B90">
        <w:t>Jan. 22</w:t>
      </w:r>
      <w:r w:rsidRPr="00696B90">
        <w:t>, 201</w:t>
      </w:r>
      <w:r w:rsidR="008A7983" w:rsidRPr="00696B90">
        <w:t>8</w:t>
      </w:r>
      <w:r w:rsidRPr="00696B90">
        <w:t>).</w:t>
      </w:r>
    </w:p>
  </w:footnote>
  <w:footnote w:id="9">
    <w:p w:rsidR="00355B7B" w:rsidRPr="002133F3" w:rsidRDefault="00355B7B" w:rsidP="00355B7B">
      <w:pPr>
        <w:pStyle w:val="FootnoteText"/>
        <w:ind w:left="720" w:firstLine="0"/>
        <w:contextualSpacing/>
        <w:rPr>
          <w:lang w:val="pt-BR"/>
        </w:rPr>
      </w:pPr>
      <w:r w:rsidRPr="00696B90">
        <w:rPr>
          <w:rStyle w:val="FootnoteReference"/>
        </w:rPr>
        <w:footnoteRef/>
      </w:r>
      <w:r w:rsidRPr="00696B90">
        <w:rPr>
          <w:lang w:val="pt-BR"/>
        </w:rPr>
        <w:t xml:space="preserve">  Tex. Gov’t Code Ann</w:t>
      </w:r>
      <w:r w:rsidRPr="00696B90">
        <w:rPr>
          <w:smallCaps/>
          <w:lang w:val="pt-BR"/>
        </w:rPr>
        <w:t>.</w:t>
      </w:r>
      <w:r w:rsidRPr="00696B90">
        <w:rPr>
          <w:lang w:val="pt-BR"/>
        </w:rPr>
        <w:t xml:space="preserve"> § 2003.049(e) (West 2016).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A309C9">
      <w:t>47680</w:t>
    </w:r>
    <w:r>
      <w:tab/>
    </w:r>
    <w:r w:rsidR="00B12AC5">
      <w:t xml:space="preserve">Draft Preliminary </w:t>
    </w:r>
    <w:r>
      <w:t>Order</w:t>
    </w:r>
    <w:r>
      <w:tab/>
      <w:t xml:space="preserve">Page </w:t>
    </w:r>
    <w:r>
      <w:fldChar w:fldCharType="begin"/>
    </w:r>
    <w:r>
      <w:instrText xml:space="preserve"> PAGE   \* MERGEFORMAT </w:instrText>
    </w:r>
    <w:r>
      <w:fldChar w:fldCharType="separate"/>
    </w:r>
    <w:r w:rsidR="0055277C">
      <w:rPr>
        <w:noProof/>
      </w:rPr>
      <w:t>7</w:t>
    </w:r>
    <w:r>
      <w:fldChar w:fldCharType="end"/>
    </w:r>
    <w:r>
      <w:t xml:space="preserve"> of </w:t>
    </w:r>
    <w:fldSimple w:instr=" NUMPAGES   \* MERGEFORMAT ">
      <w:r w:rsidR="0055277C">
        <w:rPr>
          <w:noProof/>
        </w:rPr>
        <w:t>7</w:t>
      </w:r>
    </w:fldSimple>
  </w:p>
  <w:p w:rsidR="00ED04FC" w:rsidRDefault="00ED04FC">
    <w:pPr>
      <w:pStyle w:val="Header"/>
    </w:pPr>
    <w:r>
      <w:t>SOAH Docket No. 473-1</w:t>
    </w:r>
    <w:r w:rsidR="00A309C9">
      <w:t>8</w:t>
    </w:r>
    <w:r>
      <w:t>-</w:t>
    </w:r>
    <w:r w:rsidR="00A309C9">
      <w:t>1906.WS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EC5442D"/>
    <w:multiLevelType w:val="singleLevel"/>
    <w:tmpl w:val="010203BE"/>
    <w:lvl w:ilvl="0">
      <w:start w:val="1"/>
      <w:numFmt w:val="decimal"/>
      <w:lvlText w:val="%1."/>
      <w:legacy w:legacy="1" w:legacySpace="0" w:legacyIndent="360"/>
      <w:lvlJc w:val="left"/>
      <w:pPr>
        <w:ind w:left="360" w:hanging="360"/>
      </w:pPr>
      <w:rPr>
        <w:vertAlign w:val="baseline"/>
      </w:rPr>
    </w:lvl>
  </w:abstractNum>
  <w:abstractNum w:abstractNumId="7"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8"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3"/>
  </w:num>
  <w:num w:numId="2">
    <w:abstractNumId w:val="4"/>
  </w:num>
  <w:num w:numId="3">
    <w:abstractNumId w:val="2"/>
  </w:num>
  <w:num w:numId="4">
    <w:abstractNumId w:val="11"/>
  </w:num>
  <w:num w:numId="5">
    <w:abstractNumId w:val="4"/>
  </w:num>
  <w:num w:numId="6">
    <w:abstractNumId w:val="8"/>
  </w:num>
  <w:num w:numId="7">
    <w:abstractNumId w:val="10"/>
  </w:num>
  <w:num w:numId="8">
    <w:abstractNumId w:val="0"/>
  </w:num>
  <w:num w:numId="9">
    <w:abstractNumId w:val="7"/>
  </w:num>
  <w:num w:numId="10">
    <w:abstractNumId w:val="5"/>
  </w:num>
  <w:num w:numId="11">
    <w:abstractNumId w:val="6"/>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07E"/>
    <w:rsid w:val="00050B77"/>
    <w:rsid w:val="000B453A"/>
    <w:rsid w:val="000C458D"/>
    <w:rsid w:val="000E5DBE"/>
    <w:rsid w:val="001169CA"/>
    <w:rsid w:val="00160DCD"/>
    <w:rsid w:val="001E1079"/>
    <w:rsid w:val="001E360C"/>
    <w:rsid w:val="001F10CC"/>
    <w:rsid w:val="00235CDD"/>
    <w:rsid w:val="00266F9F"/>
    <w:rsid w:val="00312838"/>
    <w:rsid w:val="00355B7B"/>
    <w:rsid w:val="00433B5E"/>
    <w:rsid w:val="00460626"/>
    <w:rsid w:val="0046644C"/>
    <w:rsid w:val="00470EF9"/>
    <w:rsid w:val="004E082A"/>
    <w:rsid w:val="00516EDA"/>
    <w:rsid w:val="0055277C"/>
    <w:rsid w:val="005C3512"/>
    <w:rsid w:val="00604A1C"/>
    <w:rsid w:val="0062202F"/>
    <w:rsid w:val="006639CB"/>
    <w:rsid w:val="0067692D"/>
    <w:rsid w:val="00677B5E"/>
    <w:rsid w:val="00696B90"/>
    <w:rsid w:val="006F2036"/>
    <w:rsid w:val="00706E6D"/>
    <w:rsid w:val="007572FC"/>
    <w:rsid w:val="007D618F"/>
    <w:rsid w:val="007E307E"/>
    <w:rsid w:val="0080046C"/>
    <w:rsid w:val="008738BF"/>
    <w:rsid w:val="008838F1"/>
    <w:rsid w:val="008A7983"/>
    <w:rsid w:val="008B7933"/>
    <w:rsid w:val="008D1724"/>
    <w:rsid w:val="009727E0"/>
    <w:rsid w:val="009C1919"/>
    <w:rsid w:val="009F706A"/>
    <w:rsid w:val="009F7FB3"/>
    <w:rsid w:val="00A035EA"/>
    <w:rsid w:val="00A309C9"/>
    <w:rsid w:val="00A40798"/>
    <w:rsid w:val="00B12AC5"/>
    <w:rsid w:val="00B22348"/>
    <w:rsid w:val="00B71CA8"/>
    <w:rsid w:val="00C35932"/>
    <w:rsid w:val="00C54659"/>
    <w:rsid w:val="00D03394"/>
    <w:rsid w:val="00D1503F"/>
    <w:rsid w:val="00D451DC"/>
    <w:rsid w:val="00D706B4"/>
    <w:rsid w:val="00DF1D74"/>
    <w:rsid w:val="00E930F3"/>
    <w:rsid w:val="00EB3FB6"/>
    <w:rsid w:val="00ED04FC"/>
    <w:rsid w:val="00EE5DDA"/>
    <w:rsid w:val="00F24715"/>
    <w:rsid w:val="00F308C4"/>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AFB59629-249F-46E1-9152-83E530AA1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m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BD6CB-0788-4004-AAD0-70BA0A03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prelimorder2013(wmd'a)</Template>
  <TotalTime>192</TotalTime>
  <Pages>7</Pages>
  <Words>1763</Words>
  <Characters>10052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11792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Dwyer, Davida</dc:creator>
  <cp:keywords/>
  <dc:description/>
  <cp:lastModifiedBy>Namazi, Jonathan</cp:lastModifiedBy>
  <cp:revision>6</cp:revision>
  <cp:lastPrinted>2018-02-06T21:41:00Z</cp:lastPrinted>
  <dcterms:created xsi:type="dcterms:W3CDTF">2018-01-31T15:20:00Z</dcterms:created>
  <dcterms:modified xsi:type="dcterms:W3CDTF">2018-02-06T21:49:00Z</dcterms:modified>
</cp:coreProperties>
</file>